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0B1" w:rsidRPr="00646A9A" w:rsidRDefault="00DE4B9F" w:rsidP="00646A9A">
      <w:pPr>
        <w:spacing w:line="360" w:lineRule="auto"/>
        <w:jc w:val="center"/>
        <w:rPr>
          <w:rFonts w:ascii="宋体" w:eastAsia="宋体" w:hAnsi="宋体"/>
          <w:b/>
          <w:color w:val="FF0000"/>
          <w:sz w:val="28"/>
          <w:szCs w:val="21"/>
        </w:rPr>
      </w:pPr>
      <w:r w:rsidRPr="00646A9A">
        <w:rPr>
          <w:rFonts w:ascii="宋体" w:eastAsia="宋体" w:hAnsi="宋体" w:hint="eastAsia"/>
          <w:b/>
          <w:color w:val="FF0000"/>
          <w:sz w:val="28"/>
          <w:szCs w:val="21"/>
        </w:rPr>
        <w:t>植物激素调节</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抢分必背</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1.生长素发现的实验结论</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(1)生长素的产生部位——胚芽鞘的尖端。</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(2)发挥作用部位——尖端下面的一段。</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(3)感光部位——胚芽鞘尖端。</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(4)生长素作用——促进生长。</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(5)胚芽鞘弯曲原因——生长素分布不均匀,导致生长不均匀。</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2.植物激素:由植物体内产生,能从产生部位运送到作用部位,对植物的生长发育有显著影响的微量有机物。</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3.极性运输:生长素只能从形态学上端运输到形态学下端,而不能反过来运输。</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4.常考植物激素的作用</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生长素:促进细胞伸长,促进生根,促进果实发育。</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赤霉素:促进细胞伸长,种子萌发和果实发育。</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细胞分裂素:促进细胞分裂,促进发芽。</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乙烯:促进果实成熟。</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脱落酸:抑制细胞分裂,促进叶和果实的衰老和脱落。</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5.植物的生长发育不是某一种植物激素单独起作用,而是由多种激素相互协调、共同调节的。</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6.植物的生长发育过程,在“根本上”是基因在一定时间和空间上程序性表达的结果。</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7.光照、温度等环境因子的变化会引起植物体内产生包括激素合成在内的多种变化,进而对基因的表达进行调控。</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抢分关键</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 xml:space="preserve">　　1.胚芽鞘尖端与尖端下部作用不同</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(1)尖端:产生生长素;感受光刺激,生长素发生横向运输。</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(2)尖端下部:生长和弯曲部位。</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2.极性运输≠横向运输</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(1)极性运输</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cs="宋体" w:hint="eastAsia"/>
          <w:sz w:val="21"/>
          <w:szCs w:val="21"/>
        </w:rPr>
        <w:t>①</w:t>
      </w:r>
      <w:r w:rsidRPr="00535FD0">
        <w:rPr>
          <w:rFonts w:ascii="宋体" w:eastAsia="宋体" w:hAnsi="宋体"/>
          <w:sz w:val="21"/>
          <w:szCs w:val="21"/>
        </w:rPr>
        <w:t>形态学上端→下端;</w:t>
      </w:r>
      <w:r w:rsidRPr="00535FD0">
        <w:rPr>
          <w:rFonts w:ascii="宋体" w:eastAsia="宋体" w:hAnsi="宋体" w:cs="宋体" w:hint="eastAsia"/>
          <w:sz w:val="21"/>
          <w:szCs w:val="21"/>
        </w:rPr>
        <w:t>②</w:t>
      </w:r>
      <w:r w:rsidRPr="00535FD0">
        <w:rPr>
          <w:rFonts w:ascii="宋体" w:eastAsia="宋体" w:hAnsi="宋体"/>
          <w:sz w:val="21"/>
          <w:szCs w:val="21"/>
        </w:rPr>
        <w:t>主动运输,与光照无关。</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(2)横向运输</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cs="宋体" w:hint="eastAsia"/>
          <w:sz w:val="21"/>
          <w:szCs w:val="21"/>
        </w:rPr>
        <w:lastRenderedPageBreak/>
        <w:t>①</w:t>
      </w:r>
      <w:r w:rsidRPr="00535FD0">
        <w:rPr>
          <w:rFonts w:ascii="宋体" w:eastAsia="宋体" w:hAnsi="宋体"/>
          <w:sz w:val="21"/>
          <w:szCs w:val="21"/>
        </w:rPr>
        <w:t>向光侧→背光侧;</w:t>
      </w:r>
      <w:r w:rsidRPr="00535FD0">
        <w:rPr>
          <w:rFonts w:ascii="宋体" w:eastAsia="宋体" w:hAnsi="宋体" w:cs="宋体" w:hint="eastAsia"/>
          <w:sz w:val="21"/>
          <w:szCs w:val="21"/>
        </w:rPr>
        <w:t>②</w:t>
      </w:r>
      <w:r w:rsidRPr="00535FD0">
        <w:rPr>
          <w:rFonts w:ascii="宋体" w:eastAsia="宋体" w:hAnsi="宋体"/>
          <w:sz w:val="21"/>
          <w:szCs w:val="21"/>
        </w:rPr>
        <w:t>远地侧→近地侧。</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3.不同浓度生长素的作用效果可能相同:分别位于最适浓度两侧。</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4.无子番茄与无子西瓜的成因不同</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(1)无子番茄:生长素促进子房发育,该性状不遗传。</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(2)无子西瓜:秋水仙素处理,染色体变异,该性状可通过无性生殖遗传。</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5.植物激素≠植物生长调节剂</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(1)植物激素是植物自身合成的具有调节作用的微量有机物,如生长素、乙烯、赤霉素等。</w:t>
      </w:r>
    </w:p>
    <w:p w:rsidR="008670B1" w:rsidRPr="00535FD0" w:rsidRDefault="00DE4B9F" w:rsidP="008670B1">
      <w:pPr>
        <w:spacing w:line="360" w:lineRule="auto"/>
        <w:ind w:firstLineChars="200" w:firstLine="420"/>
        <w:rPr>
          <w:rFonts w:ascii="宋体" w:eastAsia="宋体" w:hAnsi="宋体"/>
          <w:sz w:val="21"/>
          <w:szCs w:val="21"/>
        </w:rPr>
      </w:pPr>
      <w:r w:rsidRPr="00535FD0">
        <w:rPr>
          <w:rFonts w:ascii="宋体" w:eastAsia="宋体" w:hAnsi="宋体"/>
          <w:sz w:val="21"/>
          <w:szCs w:val="21"/>
        </w:rPr>
        <w:t>(2)植物生长调节剂是人工合成的对植物生长发育有调节作用的化学物质,相比于植物激素,它具有容易合成、原料广泛、效果稳定的优点。</w:t>
      </w:r>
    </w:p>
    <w:tbl>
      <w:tblPr>
        <w:tblW w:w="9808" w:type="dxa"/>
        <w:jc w:val="center"/>
        <w:tblBorders>
          <w:insideH w:val="nil"/>
          <w:insideV w:val="nil"/>
        </w:tblBorders>
        <w:tblLayout w:type="fixed"/>
        <w:tblLook w:val="04A0" w:firstRow="1" w:lastRow="0" w:firstColumn="1" w:lastColumn="0" w:noHBand="0" w:noVBand="1"/>
      </w:tblPr>
      <w:tblGrid>
        <w:gridCol w:w="1083"/>
        <w:gridCol w:w="8725"/>
      </w:tblGrid>
      <w:tr w:rsidR="00A051B3" w:rsidRPr="00535FD0" w:rsidTr="008544ED">
        <w:trPr>
          <w:jc w:val="center"/>
        </w:trPr>
        <w:tc>
          <w:tcPr>
            <w:tcW w:w="1083" w:type="dxa"/>
            <w:tcMar>
              <w:left w:w="0" w:type="dxa"/>
              <w:right w:w="0" w:type="dxa"/>
            </w:tcMar>
            <w:vAlign w:val="center"/>
          </w:tcPr>
          <w:p w:rsidR="008670B1" w:rsidRPr="00535FD0" w:rsidRDefault="00DE4B9F" w:rsidP="008544ED">
            <w:pPr>
              <w:spacing w:line="360" w:lineRule="auto"/>
              <w:jc w:val="center"/>
              <w:rPr>
                <w:rFonts w:ascii="宋体" w:eastAsia="宋体" w:hAnsi="宋体"/>
                <w:sz w:val="21"/>
                <w:szCs w:val="21"/>
              </w:rPr>
            </w:pPr>
            <w:r w:rsidRPr="00535FD0">
              <w:rPr>
                <w:rFonts w:ascii="宋体" w:eastAsia="宋体" w:hAnsi="宋体"/>
                <w:sz w:val="21"/>
                <w:szCs w:val="21"/>
              </w:rPr>
              <w:t>抢分小练</w:t>
            </w:r>
          </w:p>
        </w:tc>
        <w:tc>
          <w:tcPr>
            <w:tcW w:w="8725" w:type="dxa"/>
            <w:tcMar>
              <w:left w:w="0" w:type="dxa"/>
              <w:right w:w="0" w:type="dxa"/>
            </w:tcMar>
            <w:vAlign w:val="center"/>
          </w:tcPr>
          <w:p w:rsidR="008670B1" w:rsidRPr="00535FD0" w:rsidRDefault="00DE709B" w:rsidP="008544ED">
            <w:pPr>
              <w:spacing w:line="360" w:lineRule="auto"/>
              <w:jc w:val="center"/>
              <w:rPr>
                <w:rFonts w:ascii="宋体" w:eastAsia="宋体" w:hAnsi="宋体"/>
                <w:sz w:val="21"/>
                <w:szCs w:val="21"/>
              </w:rPr>
            </w:pPr>
          </w:p>
        </w:tc>
      </w:tr>
    </w:tbl>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1.(2018湖南张家界三模,4)植物激素是由植物自身代谢产生的一类有机物质,并从产生部位移动到作用部位,在极低浓度下就有明显生理效应的微量物质,也被称为植物天然激素或植物内源激素。下列叙述正确的是(　　)</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A.在植物体内吲哚乙酸(IAA)能进行极性和非极性运输</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B.α-萘乙酸(NAA)能从植物的产生部位移动到作用部位</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C.赤霉素(GA)属于植物的内源激素,也只有植物能产生</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D.植物叶片和果实的脱落仅与脱落酸(ABA)的调节有关</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2.(2018广东一模,4)某实验小组用一定浓度的α-萘乙酸(NAA)溶液和激动素(KT)溶液探究二者对棉花主根长度及侧根数的影响,结果如下图所示。据此分析,下列相关叙述错误的是(　　)</w:t>
      </w:r>
      <w:bookmarkStart w:id="0" w:name="_GoBack"/>
      <w:bookmarkEnd w:id="0"/>
    </w:p>
    <w:p w:rsidR="008670B1" w:rsidRPr="00535FD0" w:rsidRDefault="00DE709B" w:rsidP="008670B1">
      <w:pPr>
        <w:spacing w:line="360" w:lineRule="auto"/>
        <w:jc w:val="center"/>
        <w:rPr>
          <w:rFonts w:ascii="宋体" w:eastAsia="宋体" w:hAnsi="宋体"/>
          <w:sz w:val="21"/>
          <w:szCs w:val="21"/>
        </w:rPr>
      </w:pP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A.主根和侧根对NAA的敏感性不同</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B.NAA能一定程度地消除根的顶端优势,而KT能增强根的顶端优势</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C.NAA能抑制主根生长,KT能促进主根生长,且浓度越高效果越明显</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D.一定浓度的KT对NAA促进侧根生长的效应具有增强作用</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3.(2018湖南师范大学附属中学第六次月考,5)下列关于植物激素的叙述中,正确的是(　　)</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A.植物体内不同的腺体能够分泌不同的激素,脱落酸能促进叶片和果实的脱落</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B.生长素具有极性运输的特点,缺乏氧气会影响植物体内生长素的极性运输</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C.乙烯可以促进苹果和香蕉等果实的生长发育和成熟</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D.植物激素能够直接参与细胞代谢并传达一种调节代谢的信息</w:t>
      </w:r>
    </w:p>
    <w:p w:rsidR="00177FCB" w:rsidRPr="00535FD0" w:rsidRDefault="00DE709B" w:rsidP="007474E3">
      <w:pPr>
        <w:spacing w:line="360" w:lineRule="auto"/>
        <w:rPr>
          <w:rFonts w:ascii="宋体" w:eastAsia="宋体" w:hAnsi="宋体"/>
          <w:sz w:val="21"/>
          <w:szCs w:val="21"/>
        </w:rPr>
      </w:pPr>
    </w:p>
    <w:p w:rsidR="00177FCB" w:rsidRPr="00535FD0" w:rsidRDefault="00DE4B9F" w:rsidP="007474E3">
      <w:pPr>
        <w:spacing w:line="360" w:lineRule="auto"/>
        <w:jc w:val="center"/>
        <w:rPr>
          <w:rFonts w:ascii="宋体" w:eastAsia="宋体" w:hAnsi="宋体"/>
          <w:b/>
          <w:sz w:val="21"/>
          <w:szCs w:val="21"/>
        </w:rPr>
      </w:pPr>
      <w:r w:rsidRPr="00535FD0">
        <w:rPr>
          <w:rFonts w:ascii="宋体" w:eastAsia="宋体" w:hAnsi="宋体"/>
          <w:b/>
          <w:sz w:val="21"/>
          <w:szCs w:val="21"/>
        </w:rPr>
        <w:lastRenderedPageBreak/>
        <w:br w:type="page"/>
      </w:r>
      <w:r w:rsidRPr="00535FD0">
        <w:rPr>
          <w:rFonts w:ascii="宋体" w:eastAsia="宋体" w:hAnsi="宋体" w:hint="eastAsia"/>
          <w:b/>
          <w:sz w:val="21"/>
          <w:szCs w:val="21"/>
        </w:rPr>
        <w:lastRenderedPageBreak/>
        <w:t>答案全解全析</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抢分小练</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1.A　吲哚乙酸(IAA)在植物体内可进行极性运输,即从形态学上端向下端运输,在成熟的韧皮部可以进行非极性运输,A正确;α-萘乙酸(NAA)是生长素类似物,不是植物激素,B错误;赤霉菌可以产生赤霉素,C错误;植物叶片和果实的脱落与各种激素的调节有关,D错误。</w:t>
      </w:r>
    </w:p>
    <w:p w:rsidR="008670B1"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2.C　据图分析,乙组中NAA对主根是抑制作用,对侧根是促进作用,因此主根和侧根对NAA的敏感性不同,A正确;甲、乙对比,说明NAA能一定程度地消除根的顶端优势;甲、丙对比,说明KT能增强根的顶端优势,B正确;甲、乙、丙说明NAA能抑制主根生长,KT能促进主根生长,但是不能说明浓度越高效果越明显,C错误;乙、丁组说明一定浓度的KT对NAA促进侧根生长的效应具有增强作用,D正确。</w:t>
      </w:r>
    </w:p>
    <w:p w:rsidR="0073647C" w:rsidRPr="00535FD0" w:rsidRDefault="00DE4B9F" w:rsidP="008670B1">
      <w:pPr>
        <w:spacing w:line="360" w:lineRule="auto"/>
        <w:rPr>
          <w:rFonts w:ascii="宋体" w:eastAsia="宋体" w:hAnsi="宋体"/>
          <w:sz w:val="21"/>
          <w:szCs w:val="21"/>
        </w:rPr>
      </w:pPr>
      <w:r w:rsidRPr="00535FD0">
        <w:rPr>
          <w:rFonts w:ascii="宋体" w:eastAsia="宋体" w:hAnsi="宋体"/>
          <w:sz w:val="21"/>
          <w:szCs w:val="21"/>
        </w:rPr>
        <w:t>3.B　植物体内没有专门分泌激素的腺体,A错误。生长素具有极性运输的特点,并且是主动运输,当缺乏氧气时会影响植物体内生长素的极性运输,B正确。乙烯只能促进苹果和香蕉等果实的成熟,但不能促进生长发育,C错误。植物激素不能直接参与细胞代谢,而是起到调节作用,D错误。</w:t>
      </w:r>
    </w:p>
    <w:p w:rsidR="0073647C" w:rsidRPr="00535FD0" w:rsidRDefault="0073647C">
      <w:pPr>
        <w:rPr>
          <w:rFonts w:ascii="宋体" w:eastAsia="宋体" w:hAnsi="宋体"/>
          <w:sz w:val="21"/>
        </w:rPr>
      </w:pPr>
    </w:p>
    <w:p w:rsidR="00F703D3" w:rsidRPr="00535FD0" w:rsidRDefault="00DE709B" w:rsidP="008670B1">
      <w:pPr>
        <w:spacing w:line="360" w:lineRule="auto"/>
        <w:rPr>
          <w:rFonts w:ascii="宋体" w:eastAsia="宋体" w:hAnsi="宋体"/>
          <w:sz w:val="21"/>
          <w:szCs w:val="21"/>
        </w:rPr>
      </w:pPr>
    </w:p>
    <w:sectPr w:rsidR="00F703D3" w:rsidRPr="00535FD0"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934" w:rsidRDefault="004D1934">
      <w:pPr>
        <w:spacing w:line="240" w:lineRule="auto"/>
      </w:pPr>
      <w:r>
        <w:separator/>
      </w:r>
    </w:p>
  </w:endnote>
  <w:endnote w:type="continuationSeparator" w:id="0">
    <w:p w:rsidR="004D1934" w:rsidRDefault="004D1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7C" w:rsidRDefault="00756517" w:rsidP="00F3239A">
    <w:pPr>
      <w:pStyle w:val="a4"/>
      <w:framePr w:wrap="around" w:vAnchor="text" w:hAnchor="margin" w:xAlign="right" w:y="1"/>
      <w:rPr>
        <w:rStyle w:val="a9"/>
      </w:rPr>
    </w:pPr>
    <w:r>
      <w:rPr>
        <w:rStyle w:val="a9"/>
      </w:rPr>
      <w:fldChar w:fldCharType="begin"/>
    </w:r>
    <w:r w:rsidR="0073647C">
      <w:rPr>
        <w:rStyle w:val="a9"/>
      </w:rPr>
      <w:instrText xml:space="preserve">PAGE  </w:instrText>
    </w:r>
    <w:r>
      <w:rPr>
        <w:rStyle w:val="a9"/>
      </w:rPr>
      <w:fldChar w:fldCharType="end"/>
    </w:r>
  </w:p>
  <w:p w:rsidR="0073647C" w:rsidRDefault="0073647C" w:rsidP="0073647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47C" w:rsidRDefault="00756517" w:rsidP="00F3239A">
    <w:pPr>
      <w:pStyle w:val="a4"/>
      <w:framePr w:wrap="around" w:vAnchor="text" w:hAnchor="margin" w:xAlign="right" w:y="1"/>
      <w:rPr>
        <w:rStyle w:val="a9"/>
      </w:rPr>
    </w:pPr>
    <w:r>
      <w:rPr>
        <w:rStyle w:val="a9"/>
      </w:rPr>
      <w:fldChar w:fldCharType="begin"/>
    </w:r>
    <w:r w:rsidR="0073647C">
      <w:rPr>
        <w:rStyle w:val="a9"/>
      </w:rPr>
      <w:instrText xml:space="preserve">PAGE  </w:instrText>
    </w:r>
    <w:r>
      <w:rPr>
        <w:rStyle w:val="a9"/>
      </w:rPr>
      <w:fldChar w:fldCharType="separate"/>
    </w:r>
    <w:r w:rsidR="00DE709B">
      <w:rPr>
        <w:rStyle w:val="a9"/>
        <w:noProof/>
      </w:rPr>
      <w:t>3</w:t>
    </w:r>
    <w:r>
      <w:rPr>
        <w:rStyle w:val="a9"/>
      </w:rPr>
      <w:fldChar w:fldCharType="end"/>
    </w:r>
  </w:p>
  <w:p w:rsidR="0073647C" w:rsidRDefault="0073647C" w:rsidP="0073647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934" w:rsidRDefault="004D1934">
      <w:pPr>
        <w:spacing w:line="240" w:lineRule="auto"/>
      </w:pPr>
      <w:r>
        <w:separator/>
      </w:r>
    </w:p>
  </w:footnote>
  <w:footnote w:type="continuationSeparator" w:id="0">
    <w:p w:rsidR="004D1934" w:rsidRDefault="004D193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51B3"/>
    <w:rsid w:val="00321D6F"/>
    <w:rsid w:val="00444B7C"/>
    <w:rsid w:val="004D1934"/>
    <w:rsid w:val="00535FD0"/>
    <w:rsid w:val="00646A9A"/>
    <w:rsid w:val="0073647C"/>
    <w:rsid w:val="00756517"/>
    <w:rsid w:val="00A051B3"/>
    <w:rsid w:val="00AB14A8"/>
    <w:rsid w:val="00B6676B"/>
    <w:rsid w:val="00DE4B9F"/>
    <w:rsid w:val="00DE709B"/>
    <w:rsid w:val="00F87A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7364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D6385-0658-4074-9F4F-72DFE5B5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284</Words>
  <Characters>1623</Characters>
  <Application>Microsoft Office Word</Application>
  <DocSecurity>0</DocSecurity>
  <Lines>13</Lines>
  <Paragraphs>3</Paragraphs>
  <ScaleCrop>false</ScaleCrop>
  <Manager> </Manager>
  <Company> </Company>
  <LinksUpToDate>false</LinksUpToDate>
  <CharactersWithSpaces>1904</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