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BF1" w:rsidRPr="002E044D" w:rsidRDefault="00FD718B" w:rsidP="002E044D">
      <w:pPr>
        <w:spacing w:line="360" w:lineRule="auto"/>
        <w:jc w:val="center"/>
        <w:rPr>
          <w:rFonts w:ascii="宋体" w:eastAsia="宋体" w:hAnsi="宋体"/>
          <w:b/>
          <w:color w:val="FF0000"/>
          <w:sz w:val="28"/>
          <w:szCs w:val="32"/>
        </w:rPr>
      </w:pPr>
      <w:r w:rsidRPr="002E044D">
        <w:rPr>
          <w:rFonts w:ascii="宋体" w:eastAsia="宋体" w:hAnsi="宋体" w:hint="eastAsia"/>
          <w:b/>
          <w:color w:val="FF0000"/>
          <w:sz w:val="28"/>
          <w:szCs w:val="32"/>
        </w:rPr>
        <w:t>生物与环境类大题</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抢分关键</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 xml:space="preserve">　　1.分析种群的数量特征,种群密度的调查方法与应用。</w:t>
      </w:r>
    </w:p>
    <w:p w:rsidR="00411BF1" w:rsidRPr="00B84F1A" w:rsidRDefault="00FD718B" w:rsidP="00C27F61">
      <w:pPr>
        <w:spacing w:line="360" w:lineRule="auto"/>
        <w:ind w:firstLineChars="200" w:firstLine="420"/>
        <w:rPr>
          <w:rFonts w:ascii="宋体" w:eastAsia="宋体" w:hAnsi="宋体"/>
          <w:sz w:val="21"/>
          <w:szCs w:val="24"/>
        </w:rPr>
      </w:pPr>
      <w:r w:rsidRPr="00B84F1A">
        <w:rPr>
          <w:rFonts w:ascii="宋体" w:eastAsia="宋体" w:hAnsi="宋体"/>
          <w:sz w:val="21"/>
          <w:szCs w:val="24"/>
        </w:rPr>
        <w:t>2.种群的数量变化及影响因素,λ的含义及曲线分析;种群数量变化在生产实践中的应用。</w:t>
      </w:r>
    </w:p>
    <w:p w:rsidR="00411BF1" w:rsidRPr="00B84F1A" w:rsidRDefault="00FD718B" w:rsidP="00C27F61">
      <w:pPr>
        <w:spacing w:line="360" w:lineRule="auto"/>
        <w:ind w:firstLineChars="200" w:firstLine="420"/>
        <w:rPr>
          <w:rFonts w:ascii="宋体" w:eastAsia="宋体" w:hAnsi="宋体"/>
          <w:sz w:val="21"/>
          <w:szCs w:val="24"/>
        </w:rPr>
      </w:pPr>
      <w:r w:rsidRPr="00B84F1A">
        <w:rPr>
          <w:rFonts w:ascii="宋体" w:eastAsia="宋体" w:hAnsi="宋体"/>
          <w:sz w:val="21"/>
          <w:szCs w:val="24"/>
        </w:rPr>
        <w:t>3.推断种间关系,群落的空间结构分析,群落演替过程中的变化规律。</w:t>
      </w:r>
    </w:p>
    <w:p w:rsidR="00411BF1" w:rsidRPr="00B84F1A" w:rsidRDefault="00FD718B" w:rsidP="00C27F61">
      <w:pPr>
        <w:spacing w:line="360" w:lineRule="auto"/>
        <w:ind w:firstLineChars="200" w:firstLine="420"/>
        <w:rPr>
          <w:rFonts w:ascii="宋体" w:eastAsia="宋体" w:hAnsi="宋体"/>
          <w:sz w:val="21"/>
          <w:szCs w:val="24"/>
        </w:rPr>
      </w:pPr>
      <w:r w:rsidRPr="00B84F1A">
        <w:rPr>
          <w:rFonts w:ascii="宋体" w:eastAsia="宋体" w:hAnsi="宋体"/>
          <w:sz w:val="21"/>
          <w:szCs w:val="24"/>
        </w:rPr>
        <w:t>4.分析生态系统中种群间的相互关系,并能绘制食物网。</w:t>
      </w:r>
    </w:p>
    <w:p w:rsidR="00411BF1" w:rsidRPr="00B84F1A" w:rsidRDefault="00FD718B" w:rsidP="00C27F61">
      <w:pPr>
        <w:spacing w:line="360" w:lineRule="auto"/>
        <w:ind w:firstLineChars="200" w:firstLine="420"/>
        <w:rPr>
          <w:rFonts w:ascii="宋体" w:eastAsia="宋体" w:hAnsi="宋体"/>
          <w:sz w:val="21"/>
          <w:szCs w:val="24"/>
        </w:rPr>
      </w:pPr>
      <w:r w:rsidRPr="00B84F1A">
        <w:rPr>
          <w:rFonts w:ascii="宋体" w:eastAsia="宋体" w:hAnsi="宋体"/>
          <w:sz w:val="21"/>
          <w:szCs w:val="24"/>
        </w:rPr>
        <w:t>5.明确生态系统的能量流动、物质循环和信息传递这三大功能的具体含义和相互关系,并能对具体的生态系统进行分析。</w:t>
      </w:r>
    </w:p>
    <w:p w:rsidR="00411BF1" w:rsidRPr="00B84F1A" w:rsidRDefault="00FD718B" w:rsidP="00C27F61">
      <w:pPr>
        <w:spacing w:line="360" w:lineRule="auto"/>
        <w:ind w:firstLineChars="200" w:firstLine="420"/>
        <w:rPr>
          <w:rFonts w:ascii="宋体" w:eastAsia="宋体" w:hAnsi="宋体"/>
          <w:sz w:val="21"/>
          <w:szCs w:val="24"/>
        </w:rPr>
      </w:pPr>
      <w:r w:rsidRPr="00B84F1A">
        <w:rPr>
          <w:rFonts w:ascii="宋体" w:eastAsia="宋体" w:hAnsi="宋体"/>
          <w:sz w:val="21"/>
          <w:szCs w:val="24"/>
        </w:rPr>
        <w:t>6.结合时代要求、生态系统的稳定性,对生物多样性及生态平衡进行保护和修复。</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抢分小练</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1.(2018课标</w:t>
      </w:r>
      <w:r w:rsidRPr="00B84F1A">
        <w:rPr>
          <w:rFonts w:ascii="宋体" w:eastAsia="宋体" w:hAnsi="宋体" w:cs="宋体" w:hint="eastAsia"/>
          <w:sz w:val="21"/>
          <w:szCs w:val="24"/>
        </w:rPr>
        <w:t>Ⅱ</w:t>
      </w:r>
      <w:r w:rsidRPr="00B84F1A">
        <w:rPr>
          <w:rFonts w:ascii="宋体" w:eastAsia="宋体" w:hAnsi="宋体"/>
          <w:sz w:val="21"/>
          <w:szCs w:val="24"/>
        </w:rPr>
        <w:t>,31)大型肉食性动物对低营养级肉食性动物与植食性动物有捕食和驱赶作用,这一建立在“威慑”与“恐惧”基础上的种间关系会对群落或生态系统产生影响,此方面的研究属于“恐惧生态学”范畴。回答下列问题:</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(1)当某种大型肉食性动物迁入到一个新的生态系统时,原有食物链的营养级有可能增加。生态系统中食物链的营养级数量一般不会太多,原因是</w:t>
      </w:r>
      <w:r w:rsidRPr="00B84F1A">
        <w:rPr>
          <w:rFonts w:ascii="宋体" w:eastAsia="宋体" w:hAnsi="宋体"/>
          <w:sz w:val="21"/>
          <w:szCs w:val="24"/>
          <w:u w:val="single" w:color="000000"/>
        </w:rPr>
        <w:t xml:space="preserve">　　　　　　　　　　　　　　　　　　　　　　　　　　　　　　　　　　　　　　　　　　　</w:t>
      </w:r>
      <w:r w:rsidRPr="00B84F1A">
        <w:rPr>
          <w:rFonts w:ascii="宋体" w:eastAsia="宋体" w:hAnsi="宋体"/>
          <w:sz w:val="21"/>
          <w:szCs w:val="24"/>
        </w:rPr>
        <w:t>。 </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(2)如果将顶级肉食性动物引入食物网只有三个营养级的某生态系统中,使得甲、乙两种植食性动物间的竞争结果发生了反转,即该生态系统中甲的数量优势地位丧失。假定该反转不是由顶级肉食性动物的直接捕食造成的,那么根据上述“恐惧生态学”知识推测,甲的数量优势地位丧失的可能原因是</w:t>
      </w:r>
      <w:r w:rsidRPr="00B84F1A">
        <w:rPr>
          <w:rFonts w:ascii="宋体" w:eastAsia="宋体" w:hAnsi="宋体"/>
          <w:sz w:val="21"/>
          <w:szCs w:val="24"/>
          <w:u w:val="single" w:color="000000"/>
        </w:rPr>
        <w:t xml:space="preserve">　　　　　　　　　　　　　　　　　　　　　　　　　　　　　　　　　　　　　　　</w:t>
      </w:r>
      <w:r w:rsidRPr="00B84F1A">
        <w:rPr>
          <w:rFonts w:ascii="宋体" w:eastAsia="宋体" w:hAnsi="宋体"/>
          <w:sz w:val="21"/>
          <w:szCs w:val="24"/>
        </w:rPr>
        <w:t>(答出一点即可)。 </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(3)若某种大型肉食性动物在某地区的森林中重新出现,会减轻该地区野猪对农作物的破坏程度。根据上述“恐惧生态学”知识推测,产生这一结果的可能原因有</w:t>
      </w:r>
      <w:r w:rsidRPr="00B84F1A">
        <w:rPr>
          <w:rFonts w:ascii="宋体" w:eastAsia="宋体" w:hAnsi="宋体"/>
          <w:sz w:val="21"/>
          <w:szCs w:val="24"/>
          <w:u w:val="single" w:color="000000"/>
        </w:rPr>
        <w:t xml:space="preserve">　　　　　　　　　　　　　　　　　　　　　　　　　</w:t>
      </w:r>
      <w:r w:rsidRPr="00B84F1A">
        <w:rPr>
          <w:rFonts w:ascii="宋体" w:eastAsia="宋体" w:hAnsi="宋体"/>
          <w:sz w:val="21"/>
          <w:szCs w:val="24"/>
        </w:rPr>
        <w:t>(答出两点即可)。 </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2.(2018东北三省四市联考,31)“种群存活力”分析可用于研究一些因素如何影响到种群灭绝的可能性,这种研究方法目前已被用来评价秦岭大熊猫现有种群的存活能力,并借此探讨相应的保护措施。请回答下列问题:</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(1)研究秦岭大熊猫种群动态,常需要调查种群密度,它是种群最基本的</w:t>
      </w:r>
      <w:r w:rsidRPr="00B84F1A">
        <w:rPr>
          <w:rFonts w:ascii="宋体" w:eastAsia="宋体" w:hAnsi="宋体"/>
          <w:sz w:val="21"/>
          <w:szCs w:val="24"/>
          <w:u w:val="single" w:color="000000"/>
        </w:rPr>
        <w:t xml:space="preserve">　　　　</w:t>
      </w:r>
      <w:r w:rsidRPr="00B84F1A">
        <w:rPr>
          <w:rFonts w:ascii="宋体" w:eastAsia="宋体" w:hAnsi="宋体"/>
          <w:sz w:val="21"/>
          <w:szCs w:val="24"/>
        </w:rPr>
        <w:t>特征。 </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lastRenderedPageBreak/>
        <w:t>(2)在环境条件不变的情况下,对秦岭大熊猫进行“种群存活力”分析时,得到如下表所示的数据,请据表分析回答。</w:t>
      </w:r>
    </w:p>
    <w:tbl>
      <w:tblPr>
        <w:tblW w:w="9808" w:type="dxa"/>
        <w:jc w:val="center"/>
        <w:tblBorders>
          <w:top w:val="single" w:sz="0" w:space="0" w:color="000000"/>
          <w:left w:val="single" w:sz="0" w:space="0" w:color="000000"/>
          <w:bottom w:val="single" w:sz="0" w:space="0" w:color="000000"/>
          <w:right w:val="single" w:sz="0" w:space="0" w:color="000000"/>
          <w:insideH w:val="single" w:sz="0" w:space="0" w:color="000000"/>
        </w:tblBorders>
        <w:tblLayout w:type="fixed"/>
        <w:tblLook w:val="04A0" w:firstRow="1" w:lastRow="0" w:firstColumn="1" w:lastColumn="0" w:noHBand="0" w:noVBand="1"/>
      </w:tblPr>
      <w:tblGrid>
        <w:gridCol w:w="1089"/>
        <w:gridCol w:w="1090"/>
        <w:gridCol w:w="1090"/>
        <w:gridCol w:w="1090"/>
        <w:gridCol w:w="1089"/>
        <w:gridCol w:w="1090"/>
        <w:gridCol w:w="1090"/>
        <w:gridCol w:w="1090"/>
        <w:gridCol w:w="1090"/>
      </w:tblGrid>
      <w:tr w:rsidR="00DE2ED6" w:rsidRPr="00B84F1A" w:rsidTr="008544ED">
        <w:trPr>
          <w:jc w:val="center"/>
        </w:trPr>
        <w:tc>
          <w:tcPr>
            <w:tcW w:w="1089" w:type="dxa"/>
            <w:tcBorders>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初始种群规模/只</w:t>
            </w:r>
          </w:p>
        </w:tc>
        <w:tc>
          <w:tcPr>
            <w:tcW w:w="1090" w:type="dxa"/>
            <w:tcBorders>
              <w:left w:val="single" w:sz="0" w:space="0" w:color="000000"/>
              <w:right w:val="single" w:sz="0" w:space="0" w:color="000000"/>
            </w:tcBorders>
            <w:tcMar>
              <w:left w:w="53" w:type="dxa"/>
              <w:right w:w="53" w:type="dxa"/>
            </w:tcMar>
            <w:vAlign w:val="center"/>
          </w:tcPr>
          <w:p w:rsidR="00411BF1" w:rsidRPr="00B84F1A" w:rsidRDefault="00FD718B" w:rsidP="008544ED">
            <w:pPr>
              <w:spacing w:line="360" w:lineRule="auto"/>
              <w:rPr>
                <w:rFonts w:ascii="宋体" w:eastAsia="宋体" w:hAnsi="宋体"/>
                <w:sz w:val="21"/>
                <w:szCs w:val="24"/>
              </w:rPr>
            </w:pPr>
            <w:r w:rsidRPr="00B84F1A">
              <w:rPr>
                <w:rFonts w:ascii="宋体" w:eastAsia="宋体" w:hAnsi="宋体"/>
                <w:sz w:val="21"/>
                <w:szCs w:val="24"/>
              </w:rPr>
              <w:t>10</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20</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25</w:t>
            </w:r>
          </w:p>
        </w:tc>
        <w:tc>
          <w:tcPr>
            <w:tcW w:w="1089"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28</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30</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40</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50</w:t>
            </w:r>
          </w:p>
        </w:tc>
        <w:tc>
          <w:tcPr>
            <w:tcW w:w="1090" w:type="dxa"/>
            <w:tcBorders>
              <w:lef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70</w:t>
            </w:r>
          </w:p>
        </w:tc>
      </w:tr>
      <w:tr w:rsidR="00DE2ED6" w:rsidRPr="00B84F1A" w:rsidTr="008544ED">
        <w:trPr>
          <w:jc w:val="center"/>
        </w:trPr>
        <w:tc>
          <w:tcPr>
            <w:tcW w:w="1089" w:type="dxa"/>
            <w:tcBorders>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种群在200年内的灭绝概率</w:t>
            </w:r>
          </w:p>
        </w:tc>
        <w:tc>
          <w:tcPr>
            <w:tcW w:w="1090" w:type="dxa"/>
            <w:tcBorders>
              <w:left w:val="single" w:sz="0" w:space="0" w:color="000000"/>
              <w:right w:val="single" w:sz="0" w:space="0" w:color="000000"/>
            </w:tcBorders>
            <w:tcMar>
              <w:left w:w="53" w:type="dxa"/>
              <w:right w:w="53" w:type="dxa"/>
            </w:tcMar>
            <w:vAlign w:val="center"/>
          </w:tcPr>
          <w:p w:rsidR="00411BF1" w:rsidRPr="00B84F1A" w:rsidRDefault="00FD718B" w:rsidP="008544ED">
            <w:pPr>
              <w:spacing w:line="360" w:lineRule="auto"/>
              <w:rPr>
                <w:rFonts w:ascii="宋体" w:eastAsia="宋体" w:hAnsi="宋体"/>
                <w:sz w:val="21"/>
                <w:szCs w:val="24"/>
              </w:rPr>
            </w:pPr>
            <w:r w:rsidRPr="00B84F1A">
              <w:rPr>
                <w:rFonts w:ascii="宋体" w:eastAsia="宋体" w:hAnsi="宋体"/>
                <w:sz w:val="21"/>
                <w:szCs w:val="24"/>
              </w:rPr>
              <w:t>0.412</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0.132</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0.076</w:t>
            </w:r>
          </w:p>
        </w:tc>
        <w:tc>
          <w:tcPr>
            <w:tcW w:w="1089"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0.065</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0.041</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0.010</w:t>
            </w:r>
          </w:p>
        </w:tc>
        <w:tc>
          <w:tcPr>
            <w:tcW w:w="1090" w:type="dxa"/>
            <w:tcBorders>
              <w:left w:val="single" w:sz="0" w:space="0" w:color="000000"/>
              <w:righ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0.002</w:t>
            </w:r>
          </w:p>
        </w:tc>
        <w:tc>
          <w:tcPr>
            <w:tcW w:w="1090" w:type="dxa"/>
            <w:tcBorders>
              <w:left w:val="single" w:sz="0" w:space="0" w:color="000000"/>
            </w:tcBorders>
            <w:tcMar>
              <w:left w:w="0" w:type="dxa"/>
              <w:right w:w="0" w:type="dxa"/>
            </w:tcMar>
            <w:vAlign w:val="center"/>
          </w:tcPr>
          <w:p w:rsidR="00411BF1" w:rsidRPr="00B84F1A" w:rsidRDefault="00FD718B" w:rsidP="008544ED">
            <w:pPr>
              <w:spacing w:line="360" w:lineRule="auto"/>
              <w:jc w:val="center"/>
              <w:rPr>
                <w:rFonts w:ascii="宋体" w:eastAsia="宋体" w:hAnsi="宋体"/>
                <w:sz w:val="21"/>
                <w:szCs w:val="24"/>
              </w:rPr>
            </w:pPr>
            <w:r w:rsidRPr="00B84F1A">
              <w:rPr>
                <w:rFonts w:ascii="宋体" w:eastAsia="宋体" w:hAnsi="宋体"/>
                <w:sz w:val="21"/>
                <w:szCs w:val="24"/>
              </w:rPr>
              <w:t>0</w:t>
            </w:r>
          </w:p>
        </w:tc>
      </w:tr>
    </w:tbl>
    <w:p w:rsidR="00411BF1" w:rsidRPr="00B84F1A" w:rsidRDefault="003B2C89" w:rsidP="00411BF1">
      <w:pPr>
        <w:spacing w:line="360" w:lineRule="auto"/>
        <w:jc w:val="center"/>
        <w:rPr>
          <w:rFonts w:ascii="宋体" w:eastAsia="宋体" w:hAnsi="宋体"/>
          <w:sz w:val="21"/>
          <w:szCs w:val="24"/>
        </w:rPr>
      </w:pP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若以“种群在200年内的灭绝概率小于5%”作为种群可以维持存活的标准,则该种群维持存活所需的最小初始规模范围在</w:t>
      </w:r>
      <w:r w:rsidRPr="00B84F1A">
        <w:rPr>
          <w:rFonts w:ascii="宋体" w:eastAsia="宋体" w:hAnsi="宋体"/>
          <w:sz w:val="21"/>
          <w:szCs w:val="24"/>
          <w:u w:val="single" w:color="000000"/>
        </w:rPr>
        <w:t xml:space="preserve">　　　　</w:t>
      </w:r>
      <w:r w:rsidRPr="00B84F1A">
        <w:rPr>
          <w:rFonts w:ascii="宋体" w:eastAsia="宋体" w:hAnsi="宋体"/>
          <w:sz w:val="21"/>
          <w:szCs w:val="24"/>
        </w:rPr>
        <w:t>只之间。 </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(3)若以环境质量下降、自然灾害以及人类的偷猎和捕捉等限制种群数量增长的环境阻力为“限制压”,如图曲线表示不同“限制压”下(以小数表示)初始规模不同的种群与其在200年内的灭绝概率(%)的关系。请据图分析:</w:t>
      </w:r>
      <w:bookmarkStart w:id="0" w:name="_GoBack"/>
      <w:bookmarkEnd w:id="0"/>
    </w:p>
    <w:p w:rsidR="00411BF1" w:rsidRPr="00B84F1A" w:rsidRDefault="003B2C89" w:rsidP="00411BF1">
      <w:pPr>
        <w:spacing w:line="360" w:lineRule="auto"/>
        <w:jc w:val="center"/>
        <w:rPr>
          <w:rFonts w:ascii="宋体" w:eastAsia="宋体" w:hAnsi="宋体"/>
          <w:sz w:val="21"/>
          <w:szCs w:val="24"/>
        </w:rPr>
      </w:pP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由图可知,随着限制压的增大,种群灭绝的可能性会</w:t>
      </w:r>
      <w:r w:rsidRPr="00B84F1A">
        <w:rPr>
          <w:rFonts w:ascii="宋体" w:eastAsia="宋体" w:hAnsi="宋体"/>
          <w:sz w:val="21"/>
          <w:szCs w:val="24"/>
          <w:u w:val="single" w:color="000000"/>
        </w:rPr>
        <w:t xml:space="preserve">　　　　</w:t>
      </w:r>
      <w:r w:rsidRPr="00B84F1A">
        <w:rPr>
          <w:rFonts w:ascii="宋体" w:eastAsia="宋体" w:hAnsi="宋体"/>
          <w:sz w:val="21"/>
          <w:szCs w:val="24"/>
        </w:rPr>
        <w:t>,维持种群存活的最小规模会</w:t>
      </w:r>
      <w:r w:rsidRPr="00B84F1A">
        <w:rPr>
          <w:rFonts w:ascii="宋体" w:eastAsia="宋体" w:hAnsi="宋体"/>
          <w:sz w:val="21"/>
          <w:szCs w:val="24"/>
          <w:u w:val="single" w:color="000000"/>
        </w:rPr>
        <w:t xml:space="preserve">　　　　</w:t>
      </w:r>
      <w:r w:rsidRPr="00B84F1A">
        <w:rPr>
          <w:rFonts w:ascii="宋体" w:eastAsia="宋体" w:hAnsi="宋体"/>
          <w:sz w:val="21"/>
          <w:szCs w:val="24"/>
        </w:rPr>
        <w:t>(填“增大”“减小”或“不变”)。若种群的灭绝概率为5%,则当限制压为0.02时,“最小存活种群”的规模为</w:t>
      </w:r>
      <w:r w:rsidRPr="00B84F1A">
        <w:rPr>
          <w:rFonts w:ascii="宋体" w:eastAsia="宋体" w:hAnsi="宋体"/>
          <w:sz w:val="21"/>
          <w:szCs w:val="24"/>
          <w:u w:val="single" w:color="000000"/>
        </w:rPr>
        <w:t xml:space="preserve">　　　　</w:t>
      </w:r>
      <w:r w:rsidRPr="00B84F1A">
        <w:rPr>
          <w:rFonts w:ascii="宋体" w:eastAsia="宋体" w:hAnsi="宋体"/>
          <w:sz w:val="21"/>
          <w:szCs w:val="24"/>
        </w:rPr>
        <w:t>只。 </w:t>
      </w:r>
    </w:p>
    <w:p w:rsidR="00177FCB"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(4)基于上述研究结果,请你提出2个针对秦岭大熊猫的保护建议:</w:t>
      </w:r>
      <w:r w:rsidRPr="00B84F1A">
        <w:rPr>
          <w:rFonts w:ascii="宋体" w:eastAsia="宋体" w:hAnsi="宋体"/>
          <w:sz w:val="21"/>
          <w:szCs w:val="24"/>
          <w:u w:val="single" w:color="000000"/>
        </w:rPr>
        <w:t xml:space="preserve">　　　　　　　　　　　　　　　　　　　　　　　　　　　　　　　　　　</w:t>
      </w:r>
      <w:r w:rsidRPr="00B84F1A">
        <w:rPr>
          <w:rFonts w:ascii="宋体" w:eastAsia="宋体" w:hAnsi="宋体"/>
          <w:sz w:val="21"/>
          <w:szCs w:val="24"/>
        </w:rPr>
        <w:t>。</w:t>
      </w:r>
    </w:p>
    <w:p w:rsidR="00177FCB" w:rsidRPr="00B84F1A" w:rsidRDefault="00FD718B" w:rsidP="007474E3">
      <w:pPr>
        <w:spacing w:line="360" w:lineRule="auto"/>
        <w:jc w:val="center"/>
        <w:rPr>
          <w:rFonts w:ascii="宋体" w:eastAsia="宋体" w:hAnsi="宋体"/>
          <w:b/>
          <w:sz w:val="21"/>
          <w:szCs w:val="32"/>
        </w:rPr>
      </w:pPr>
      <w:r w:rsidRPr="00B84F1A">
        <w:rPr>
          <w:rFonts w:ascii="宋体" w:eastAsia="宋体" w:hAnsi="宋体"/>
          <w:b/>
          <w:sz w:val="21"/>
          <w:szCs w:val="32"/>
        </w:rPr>
        <w:br w:type="page"/>
      </w:r>
      <w:r w:rsidRPr="00B84F1A">
        <w:rPr>
          <w:rFonts w:ascii="宋体" w:eastAsia="宋体" w:hAnsi="宋体" w:hint="eastAsia"/>
          <w:b/>
          <w:sz w:val="21"/>
          <w:szCs w:val="32"/>
        </w:rPr>
        <w:lastRenderedPageBreak/>
        <w:t>答案全解全析</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抢分小练</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1.答案　(1)生产者固定的能量在沿食物链流动过程中大部分都损失了,传递到下一营养级的能量较少　(2)甲对顶级肉食性动物的恐惧程度比乙高,顶级肉食性动物引入后甲逃离该生态系统的数量比乙多　(3)大型肉食性动物捕食野猪;野猪因恐惧减少了采食</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解析　(1)生产者固定的能量在沿食物链流动过程中大部分都损失了,传递到下一营养级的能量较少,相邻营养级间的能量传递效率是10%~20%,所以生态系统中食物链的营养级数量一般不超过5个。(2)顶级肉食性动物引入后,甲的数量优势地位丧失,且不是由顶级肉食性动物的直接捕食造成的。根据“恐惧生态学”知识可推测,甲对顶级肉食性动物的恐惧程度比乙高,引入顶级肉食性动物后,甲逃离该生态系统的数量比乙多。(3)某种大型肉食性动物在森林中出现后,会减轻野猪对农作物的破坏程度,可能是因为大型肉食性动物捕食野猪,从而减少了野猪数量,也可能是因为野猪因恐惧该大型肉食性动物而减少了对农作物的采食量。</w:t>
      </w:r>
    </w:p>
    <w:p w:rsidR="00411BF1" w:rsidRPr="00B84F1A" w:rsidRDefault="00FD718B" w:rsidP="00411BF1">
      <w:pPr>
        <w:spacing w:line="360" w:lineRule="auto"/>
        <w:rPr>
          <w:rFonts w:ascii="宋体" w:eastAsia="宋体" w:hAnsi="宋体"/>
          <w:sz w:val="21"/>
          <w:szCs w:val="24"/>
        </w:rPr>
      </w:pPr>
      <w:r w:rsidRPr="00B84F1A">
        <w:rPr>
          <w:rFonts w:ascii="宋体" w:eastAsia="宋体" w:hAnsi="宋体"/>
          <w:sz w:val="21"/>
          <w:szCs w:val="24"/>
        </w:rPr>
        <w:t>2.答案　(1)数量　(2)28~30　(3)增大　增大　160　(4)保证现有的环境状况不恶化(或逐步恢复大熊猫的生存环境)、将偷猎和捕捉限制在一定范围之内</w:t>
      </w:r>
    </w:p>
    <w:p w:rsidR="00FD718B" w:rsidRPr="00B84F1A" w:rsidRDefault="00FD718B" w:rsidP="00B84F1A">
      <w:pPr>
        <w:spacing w:line="360" w:lineRule="auto"/>
        <w:rPr>
          <w:rFonts w:ascii="宋体" w:eastAsia="宋体" w:hAnsi="宋体"/>
          <w:sz w:val="21"/>
          <w:szCs w:val="24"/>
        </w:rPr>
      </w:pPr>
      <w:r w:rsidRPr="00B84F1A">
        <w:rPr>
          <w:rFonts w:ascii="宋体" w:eastAsia="宋体" w:hAnsi="宋体"/>
          <w:sz w:val="21"/>
          <w:szCs w:val="24"/>
        </w:rPr>
        <w:t>解析　(1)种群的最基本数量特征是种群密度。(2)根据表格数据分析,初始种群规模为28只时,种群灭绝概率为6.5%,初始种群规模为30只时,种群灭绝概率为4.1%,因此若以“种群在200年内的灭绝概率小于5%”作为种群可以维持存活的标准,则该种群维持存活所需的最小初始规模范围在28~30只之间。(3)据图分析,随着限制压的增大,种群的灭绝概率越来越高,即种群灭绝的可能性增大,维持种群存活的最小规模也会增大;若种群的灭绝概率为5%,则当限制压为0.02时,由曲线图可知,该种群的“最小存活种群”的规模为160只。(4)根据以上分析可知,影响种群存活率的因素有限制压、初始种群规模,因此针对秦岭大熊猫的保护建议为:保证现有的环境状况不恶化、将偷猎和捕捉限制在一定范围之内等。</w:t>
      </w:r>
    </w:p>
    <w:p w:rsidR="00F703D3" w:rsidRPr="00B84F1A" w:rsidRDefault="003B2C89" w:rsidP="007474E3">
      <w:pPr>
        <w:spacing w:line="360" w:lineRule="auto"/>
        <w:rPr>
          <w:rFonts w:ascii="宋体" w:eastAsia="宋体" w:hAnsi="宋体"/>
          <w:sz w:val="21"/>
          <w:szCs w:val="24"/>
        </w:rPr>
      </w:pPr>
    </w:p>
    <w:sectPr w:rsidR="00F703D3" w:rsidRPr="00B84F1A" w:rsidSect="008B2531">
      <w:footerReference w:type="even" r:id="rId8"/>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1AC" w:rsidRDefault="000511AC" w:rsidP="00DE2ED6">
      <w:pPr>
        <w:spacing w:line="240" w:lineRule="auto"/>
      </w:pPr>
      <w:r>
        <w:separator/>
      </w:r>
    </w:p>
  </w:endnote>
  <w:endnote w:type="continuationSeparator" w:id="0">
    <w:p w:rsidR="000511AC" w:rsidRDefault="000511AC" w:rsidP="00DE2E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18B" w:rsidRDefault="00F67E63" w:rsidP="005207CC">
    <w:pPr>
      <w:pStyle w:val="a4"/>
      <w:framePr w:wrap="around" w:vAnchor="text" w:hAnchor="margin" w:xAlign="right" w:y="1"/>
      <w:rPr>
        <w:rStyle w:val="a9"/>
      </w:rPr>
    </w:pPr>
    <w:r>
      <w:rPr>
        <w:rStyle w:val="a9"/>
      </w:rPr>
      <w:fldChar w:fldCharType="begin"/>
    </w:r>
    <w:r w:rsidR="00FD718B">
      <w:rPr>
        <w:rStyle w:val="a9"/>
      </w:rPr>
      <w:instrText xml:space="preserve">PAGE  </w:instrText>
    </w:r>
    <w:r>
      <w:rPr>
        <w:rStyle w:val="a9"/>
      </w:rPr>
      <w:fldChar w:fldCharType="end"/>
    </w:r>
  </w:p>
  <w:p w:rsidR="00FD718B" w:rsidRDefault="00FD718B" w:rsidP="00FD718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18B" w:rsidRDefault="00F67E63" w:rsidP="005207CC">
    <w:pPr>
      <w:pStyle w:val="a4"/>
      <w:framePr w:wrap="around" w:vAnchor="text" w:hAnchor="margin" w:xAlign="right" w:y="1"/>
      <w:rPr>
        <w:rStyle w:val="a9"/>
      </w:rPr>
    </w:pPr>
    <w:r>
      <w:rPr>
        <w:rStyle w:val="a9"/>
      </w:rPr>
      <w:fldChar w:fldCharType="begin"/>
    </w:r>
    <w:r w:rsidR="00FD718B">
      <w:rPr>
        <w:rStyle w:val="a9"/>
      </w:rPr>
      <w:instrText xml:space="preserve">PAGE  </w:instrText>
    </w:r>
    <w:r>
      <w:rPr>
        <w:rStyle w:val="a9"/>
      </w:rPr>
      <w:fldChar w:fldCharType="separate"/>
    </w:r>
    <w:r w:rsidR="003B2C89">
      <w:rPr>
        <w:rStyle w:val="a9"/>
        <w:noProof/>
      </w:rPr>
      <w:t>2</w:t>
    </w:r>
    <w:r>
      <w:rPr>
        <w:rStyle w:val="a9"/>
      </w:rPr>
      <w:fldChar w:fldCharType="end"/>
    </w:r>
  </w:p>
  <w:p w:rsidR="002F3070" w:rsidRPr="00FD718B" w:rsidRDefault="003B2C89" w:rsidP="00FD718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1AC" w:rsidRDefault="000511AC" w:rsidP="00DE2ED6">
      <w:pPr>
        <w:spacing w:line="240" w:lineRule="auto"/>
      </w:pPr>
      <w:r>
        <w:separator/>
      </w:r>
    </w:p>
  </w:footnote>
  <w:footnote w:type="continuationSeparator" w:id="0">
    <w:p w:rsidR="000511AC" w:rsidRDefault="000511AC" w:rsidP="00DE2ED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E2ED6"/>
    <w:rsid w:val="000511AC"/>
    <w:rsid w:val="002E044D"/>
    <w:rsid w:val="0035365D"/>
    <w:rsid w:val="003B2C89"/>
    <w:rsid w:val="004D3CF3"/>
    <w:rsid w:val="009C371E"/>
    <w:rsid w:val="00A15CEE"/>
    <w:rsid w:val="00B84F1A"/>
    <w:rsid w:val="00C27F61"/>
    <w:rsid w:val="00DE2ED6"/>
    <w:rsid w:val="00E90CF0"/>
    <w:rsid w:val="00F67E63"/>
    <w:rsid w:val="00FD7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rFonts w:ascii="NEU-BZ" w:eastAsia="方正书宋_GBK" w:hAnsi="NEU-BZ" w:cs="Times New Roman"/>
      <w:b/>
      <w:bCs/>
      <w:color w:val="000000"/>
      <w:kern w:val="0"/>
      <w:sz w:val="18"/>
    </w:rPr>
  </w:style>
  <w:style w:type="character" w:styleId="a9">
    <w:name w:val="page number"/>
    <w:basedOn w:val="a0"/>
    <w:uiPriority w:val="99"/>
    <w:semiHidden/>
    <w:unhideWhenUsed/>
    <w:rsid w:val="00FD71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F7010-923A-4151-AD48-5A6EB9CC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Words>
  <Characters>1897</Characters>
  <Application>Microsoft Office Word</Application>
  <DocSecurity>0</DocSecurity>
  <Lines>15</Lines>
  <Paragraphs>4</Paragraphs>
  <ScaleCrop>false</ScaleCrop>
  <Manager> </Manager>
  <Company> </Company>
  <LinksUpToDate>false</LinksUpToDate>
  <CharactersWithSpaces>2225</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lastModifiedBy>admin</cp:lastModifiedBy>
  <cp:revision>生物备课大师【全免费】</cp:revision>
  <dcterms:created xsi:type="dcterms:W3CDTF">2019-03-19T10:15:00Z</dcterms:created>
  <dcterms:modified xsi:type="dcterms:W3CDTF">2019-03-28T11:25:00Z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